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FD" w:rsidRPr="006219FD" w:rsidRDefault="006219FD" w:rsidP="006219FD">
      <w:pPr>
        <w:jc w:val="center"/>
        <w:rPr>
          <w:rFonts w:asciiTheme="minorHAnsi" w:hAnsiTheme="minorHAnsi"/>
          <w:b/>
          <w:sz w:val="22"/>
          <w:szCs w:val="22"/>
          <w:u w:val="single"/>
        </w:rPr>
      </w:pPr>
      <w:r w:rsidRPr="006219FD">
        <w:rPr>
          <w:rFonts w:asciiTheme="minorHAnsi" w:hAnsiTheme="minorHAnsi"/>
          <w:b/>
          <w:sz w:val="22"/>
          <w:szCs w:val="22"/>
          <w:u w:val="single"/>
        </w:rPr>
        <w:t>Políticas públicas de turismo en el Perú</w:t>
      </w:r>
    </w:p>
    <w:p w:rsidR="006219FD" w:rsidRPr="006219FD" w:rsidRDefault="006219FD" w:rsidP="006219FD">
      <w:pPr>
        <w:jc w:val="both"/>
        <w:rPr>
          <w:rFonts w:asciiTheme="minorHAnsi" w:hAnsiTheme="minorHAnsi"/>
          <w:sz w:val="22"/>
          <w:szCs w:val="22"/>
        </w:rPr>
      </w:pPr>
    </w:p>
    <w:p w:rsidR="006219FD" w:rsidRPr="006219FD" w:rsidRDefault="006219FD" w:rsidP="006219FD">
      <w:pPr>
        <w:jc w:val="right"/>
        <w:rPr>
          <w:rFonts w:asciiTheme="minorHAnsi" w:hAnsiTheme="minorHAnsi"/>
          <w:b/>
          <w:sz w:val="22"/>
          <w:szCs w:val="22"/>
        </w:rPr>
      </w:pPr>
      <w:r w:rsidRPr="006219FD">
        <w:rPr>
          <w:rFonts w:asciiTheme="minorHAnsi" w:hAnsiTheme="minorHAnsi"/>
          <w:b/>
          <w:sz w:val="22"/>
          <w:szCs w:val="22"/>
        </w:rPr>
        <w:t>Norma Fuller</w:t>
      </w:r>
    </w:p>
    <w:p w:rsidR="006219FD" w:rsidRPr="006219FD" w:rsidRDefault="006219FD" w:rsidP="006219FD">
      <w:pPr>
        <w:jc w:val="both"/>
        <w:rPr>
          <w:rFonts w:asciiTheme="minorHAnsi" w:hAnsiTheme="minorHAnsi"/>
          <w:sz w:val="22"/>
          <w:szCs w:val="22"/>
        </w:rPr>
      </w:pPr>
    </w:p>
    <w:p w:rsidR="006219FD" w:rsidRPr="001A063D" w:rsidRDefault="006219FD" w:rsidP="006219FD">
      <w:pPr>
        <w:jc w:val="both"/>
        <w:rPr>
          <w:rFonts w:asciiTheme="minorHAnsi" w:hAnsiTheme="minorHAnsi"/>
          <w:b/>
          <w:i/>
          <w:color w:val="548DD4" w:themeColor="text2" w:themeTint="99"/>
          <w:sz w:val="32"/>
          <w:szCs w:val="32"/>
        </w:rPr>
      </w:pPr>
      <w:r w:rsidRPr="001A063D">
        <w:rPr>
          <w:rFonts w:asciiTheme="minorHAnsi" w:hAnsiTheme="minorHAnsi"/>
          <w:b/>
          <w:i/>
          <w:color w:val="548DD4" w:themeColor="text2" w:themeTint="99"/>
          <w:sz w:val="32"/>
          <w:szCs w:val="32"/>
        </w:rPr>
        <w:t xml:space="preserve">El Turismo es una de las actividades que </w:t>
      </w:r>
      <w:r w:rsidR="00976451" w:rsidRPr="001A063D">
        <w:rPr>
          <w:rFonts w:asciiTheme="minorHAnsi" w:hAnsiTheme="minorHAnsi"/>
          <w:b/>
          <w:i/>
          <w:color w:val="548DD4" w:themeColor="text2" w:themeTint="99"/>
          <w:sz w:val="32"/>
          <w:szCs w:val="32"/>
        </w:rPr>
        <w:t>más</w:t>
      </w:r>
      <w:r w:rsidRPr="001A063D">
        <w:rPr>
          <w:rFonts w:asciiTheme="minorHAnsi" w:hAnsiTheme="minorHAnsi"/>
          <w:b/>
          <w:i/>
          <w:color w:val="548DD4" w:themeColor="text2" w:themeTint="99"/>
          <w:sz w:val="32"/>
          <w:szCs w:val="32"/>
        </w:rPr>
        <w:t xml:space="preserve"> creció duran</w:t>
      </w:r>
      <w:r w:rsidR="00976451" w:rsidRPr="001A063D">
        <w:rPr>
          <w:rFonts w:asciiTheme="minorHAnsi" w:hAnsiTheme="minorHAnsi"/>
          <w:b/>
          <w:i/>
          <w:color w:val="548DD4" w:themeColor="text2" w:themeTint="99"/>
          <w:sz w:val="32"/>
          <w:szCs w:val="32"/>
        </w:rPr>
        <w:t>te la última década en el Perú</w:t>
      </w:r>
      <w:r w:rsidRPr="001A063D">
        <w:rPr>
          <w:rFonts w:asciiTheme="minorHAnsi" w:hAnsiTheme="minorHAnsi"/>
          <w:b/>
          <w:i/>
          <w:color w:val="548DD4" w:themeColor="text2" w:themeTint="99"/>
          <w:sz w:val="32"/>
          <w:szCs w:val="32"/>
        </w:rPr>
        <w:t>. Más aun, esta industria se presenta como una opción para el desarrollo de las zonas rurales y comunidades campesinas y nativas porque ofrece recursos que ya existen –restos,  paisajes, historia, cultura. Sin embargo,  las ciencias sociales no se han interesado mayormente en este fenómeno y lo han dejado en manos de la empresa privada y de las instancias burocráticas.</w:t>
      </w:r>
    </w:p>
    <w:p w:rsidR="006219FD" w:rsidRPr="006219FD" w:rsidRDefault="006219FD" w:rsidP="006219FD">
      <w:pPr>
        <w:jc w:val="both"/>
        <w:rPr>
          <w:rFonts w:asciiTheme="minorHAnsi" w:hAnsiTheme="minorHAnsi"/>
          <w:sz w:val="22"/>
          <w:szCs w:val="22"/>
        </w:rPr>
      </w:pPr>
      <w:r w:rsidRPr="001A063D">
        <w:rPr>
          <w:rFonts w:asciiTheme="minorHAnsi" w:hAnsiTheme="minorHAnsi"/>
          <w:b/>
          <w:i/>
          <w:color w:val="548DD4" w:themeColor="text2" w:themeTint="99"/>
          <w:sz w:val="32"/>
          <w:szCs w:val="32"/>
        </w:rPr>
        <w:t>El presente trabajo es un intento de dar cuenta de la historia de esta actividad a través de la revisión de las políticas públicas dirigidas a este sector. Nos interesa identificar la manera en que las diferentes concepcio</w:t>
      </w:r>
      <w:bookmarkStart w:id="0" w:name="_GoBack"/>
      <w:bookmarkEnd w:id="0"/>
      <w:r w:rsidRPr="001A063D">
        <w:rPr>
          <w:rFonts w:asciiTheme="minorHAnsi" w:hAnsiTheme="minorHAnsi"/>
          <w:b/>
          <w:i/>
          <w:color w:val="548DD4" w:themeColor="text2" w:themeTint="99"/>
          <w:sz w:val="32"/>
          <w:szCs w:val="32"/>
        </w:rPr>
        <w:t xml:space="preserve">nes sobre el papel del Estado, la industria privada y las poblaciones locales definieron las políticas públicas y el impacto de las fluctuaciones de nuestra vida política y económica en el desarrollo del turismo. Finalmente intentaré dar cuenta de la versión del patrimonio cultural que guiaron estas políticas y su influencia en el tipo de turismo que propiciaron y propician en la actualidad. </w:t>
      </w:r>
      <w:r w:rsidRPr="006219FD">
        <w:rPr>
          <w:rFonts w:asciiTheme="minorHAnsi" w:hAnsiTheme="minorHAnsi"/>
          <w:sz w:val="22"/>
          <w:szCs w:val="22"/>
        </w:rPr>
        <w:t xml:space="preserve">    </w:t>
      </w: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 xml:space="preserve">Primera etapa: Expansión de trasportes e infraestructura.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desarrollo de esta industria en el mundo. Durante las primeras décadas del siglo XX la expansión de los medios de comunicación terrestre (carreteras y ferrocarriles) y aérea y la consolidación de las clases medias asalariadas facilitaron un cierto desarrollo del turismo interno especializado en vacaciones y salud. Dado lo costoso del transporte ultramarino y, que el Perú está lejos de los países industrializados, durante la primera mitad del siglo XX el turismo receptivo fue incipiente y limitado a viajeros de altos recursos.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Durante la primera mitad del siglo XX el turismo no formó parte de las políticas públicas porque no era considerado como un sector que generase divisas o trabajo. Sin embargo, se observa un lento crecimiento de esta actividad que va paralela a la expansión de vías de comunicación que facilitan la movilidad de la población y al crecimiento y consolidación de las clases medias asalariadas con suficientes ingresos estables para emprender viajes de descanso, recreación y salud. La construcción de vías férreas iniciada a mediados del siglo XIX  y concluida a inicios del siglo XX (1851- 1910) sería la primera gran revolución de los transportes en la medida en que unió a las regiones norte, centro y sur. Esta amplia red ferroviaria permitió la circulación segura y cómoda de pasajeros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periodo que va desde 1911 a 1930 se caracterizó por la gran expansión de los capitalismos norteamericano, europeo y japonés. Como consecuencia, los países latinoamericanos vivieron </w:t>
      </w:r>
      <w:r w:rsidRPr="006219FD">
        <w:rPr>
          <w:rFonts w:asciiTheme="minorHAnsi" w:hAnsiTheme="minorHAnsi"/>
          <w:sz w:val="22"/>
          <w:szCs w:val="22"/>
        </w:rPr>
        <w:lastRenderedPageBreak/>
        <w:t xml:space="preserve">un ciclo de crecimiento económico gracias a la demanda creciente del mercado internacional por materias primas. Esta fase prosperidad, llevó a que casi todas las ciudades capitales de la región doblaran, e incluso, triplicaran su población y se modernizaran. Dentro de este clima, el gobierno de Leguía  (1919-1930) invirtió fuertemente en la modernización y expansión del aparato estatal. En este contexto los sectores medios crecieron notablemente y cambiaron de fisonomía debido al crecimiento de la burocracia estatal y al surgimiento de una capa de comerciantes y ejecutivos de las nuevas empresas nacionales y extranjeras.  El Estado asumió el papel de impulsor de la economía a través de la inversión en obras públicas para atraer a la inversión privada. Se amplió significativamente la red vial con la construcción de carreras, líneas férreas y aeropuertos. Se inició la construcción de la Carretera Panamericana lo que abrió la posibilidad de realizar viajes en automóvil entre las ciudades de la costa. También se construyeron tramos de la Carretera Central que une a la capital, Lima, con la sierra central. La edificación del aeropuerto internacional de Lima permitió recibir vuelos del exterior y facilitó la comunicación con el interior.  Este clima de bonanza propició el desarrollo de un cierto turismo interno hacia las ciudades de provincias, balnearios y centros medicinales. Ejemplo de ello son los complejos hoteleros de los balnearios de Huacachina en Ica y los Baños de Boza en Huaral, dos de los puntos mas concurridos por las clases altas y medias iqueñas y limeñas hasta la década de los cincuenta. Asimismo, por el Aniversario de 100 años de Independencia, se emprendieron grandes obras para embellecer y modernizar a la ciudad de Lima. Ello  incluyó la construcción de parques, plazas, hoteles, museos y monumentos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crisis económica de fines de los años veinte supuso una violenta contracción de la economía nacional. Este periodo se caracteriza por el descontento popular y el control militar del aparato estatal  hasta fines de la década de 1930. El primer gobierno de Manuel Prado (1939-1945) significó el retorno a la democracia y una conducción de la economía según la cual el Estado debe asumir un rol protagonista en la tarea de modernizar el país en alianza con la inversión privada (Ob.cit.: 272) El mercado interno creció debido a la expansión demográfica que se inició en la década de los cuarenta y a la política estatal de control de precios y aumento de salarios.  Durante este periodo se creó la Escuela de Cicerones (1940) para la instrucción en la actividad turística, que luego se convertiría en CENFOTUR.   También se establecieron las primeras corporaciones de desarrollo a través de las cuales el Estado  buscaba apoyar y potenciar las iniciativas privadas de expansión económica. En 1942, se inauguró  la  cadena de Hoteles de Turistas propiedad de la compañía Hotelera del Perú S.A.  y se culminó la construcción, de la carretera Panamericana que une a toda la costa. Ello facilitó la comunicación y ofreció servicios de hospedaje adecuados a los turistas.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corto gobierno de Bustamante y Rivero (1945-1948) se caracterizó por un mayor control e intervención estatal en la economía. Dentro de esta tónica, en 1946 se creó la Corporación Nacional de Turismo a la que se adjudicó la administración de la cadena de hoteles de turistas.  Esta entidad continuó con la construcción hoteles . La expansión del papel del Estado y los planes de inversión se vieron frenadas por una grave crisis económica acompañada de un aumento del costo de vida,  con el consiguiente  descontento general y la caída del gobierno debido al golpe militar del general de ejército Manuel  Odría  (Ob. Cit.: 290-291).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50 marcaron el inicio de un nuevo periodo de industrialización, modernización y urbanización. El impacto de la Guerra de Corea sobre los precios de las materias primas y algunas inversiones extranjeras en minería y manufactura dieron nueva vida a la economía nacional. Las finanzas del Estado se expandieron y el gobierno ejecutó diversas obras públicas. La inversión privada se expandió y las clases medias urbanas crecieron y consolidaron. Ello se expresó en una mayor capacidad de gasto en viajes destinados a vacaciones y al cuidado de la salud.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ochenio de Odría (1948-1953) supuso el retorno al esquema liberal según el cual el  Estado cumple un rol subsidiario de la inversión privada y se estimula la inversión extranjera (Garaycochea, 2007).  Dentro de esta tónica, el gobierno devolvió la propiedad de la cadena de hoteles de turistas a la  Compañía Hotelera del Perú S.A. que expandió significativamente la capacidad hotelera nacional. Asimismo, el Estado, junto con la empresa privada emprendió </w:t>
      </w:r>
      <w:r w:rsidRPr="006219FD">
        <w:rPr>
          <w:rFonts w:asciiTheme="minorHAnsi" w:hAnsiTheme="minorHAnsi"/>
          <w:sz w:val="22"/>
          <w:szCs w:val="22"/>
        </w:rPr>
        <w:lastRenderedPageBreak/>
        <w:t>obras de infraestructura que ampliaron la red de carreteras y el sistema de transportes. Ello supuso la ampliación de las instalaciones necesarias para el desarrollo turístico.  El segundo gobierno de Manuel Prado (1956-1960) continúo con las políticas iniciadas por el régimen previo.</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 xml:space="preserve">Segunda etapa: El Estado inversor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década de los sesenta significó un giro en el turismo mundial. Este creció explosivamente gracias al abaratamiento de los medios de transporte  y a la expansión de las clases medias y se convirtió en una industria de masas. Los países del tercer mundo ingresaron al  mapa turístico como receptores de visitantes del primer mundo. Se trata de un periodo de euforia durante el cual diferentes organizaciones internacionales promovieron esta industria como una vía alternativa al desarrollo. Se incentivó el endeudamiento público y privado para implementar obras de infraestructura y promoción de esta actividad.  En consecuencia el turismo ingresa dentro de las políticas públicas como una posible vía de desarrollo. Dentro de este contexto, el primer mandato de Belaúnde (1963-1968) fue un punto de inflexión, por primera vez se diseñaron políticas públicas destinadas a incrementar el flujo de turistas internos e internacionales. Se buscó promover el turismo interno con el eslogan: “Conozca el Perú primero” y con incentivos tales como conceder a los funcionarios públicos adelantos de su fondo de pensiones para que pudieran  usarlo en vacaciones.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Este periodo se caracterizó por el interés en expandir la infraestructura vial e integrar todo el territorio nacional. Se emprendió grandes obras de infraestructura vial (Contreras y Cueto, 2004) entre ellas la carretera marginal de la selva que abrió la posibilidad de integrar la región amazónica a los circuitos turísticos. Se construyó aeropuertos en diversas ciudades el interior.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1964  se creó la Corporación de Turismo del Perú (COTURPERU)  para promover la restauración del patrimonio monumental y el desarrollo de infraestructura hotelera.  En 1969 COTURPERU asumió la administración de la cadena de hoteles de turistas. Dentro de este marco se  diseñó el Plan Copesco, un proyecto estatal para implementar infraestructura turística en el sur del Perú. Se elaboró  junto a la empresa norteamericana Checchi and Company un estudio sobre ‘Las Posibilidades del Turismo en el Perú’.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este periodo también se incentiva la educación en turismo. En 1965 se fundó la Escuela Nacional de Turismo que se convertiría en el Centro Nacional de Aprendizaje de Servidores en Hoteles (CENASH) destinado a capacitar a trabajadores de hoteles, restaurantes y agencias de turismo. En 1975 se incorporaron al SENATI como programas de Turismo y Hotelería.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golpe de Estado de Velasco (1968-1975) instauró por siete años un gobierno que favorecería un mayor control estatal de la economía. En adelante el turismo se convertiría en un sector de la economía y se buscó impulsarlo, a través de  la promoción del Perú como destino, el apoyo al turismo interno y  la construcción de infraestructura. Se incentivó también la inversión privada nacional en hotelería y turismo a través de estímulos tales como la concesión de préstamos y la exención de impuestos para las inversiones en este rubro. Se creó impuestos a los bienes y servicios que se destinaron al desarrollo del turismo (FOPTUR, 1981). El Plan Inca buscó incrementar el ingreso de divisas y estimular el turismo receptivo así como el acceso de las mayorías al turismo interno mediante la  inversión estatal en obras de infraestructura turística y en instalaciones tales como la construcción de albergues a precios accesibles.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1969 la Corporación de Turismo del Perú se convirtió en ENTURPERU, una empresa estatal dedicada al desarrollo del turismo y a la promoción del Perú como destino basado en su patrimonio natural, cultural y folklórico. Se emprendió restauraciones del patrimonio material: histórico y arqueológico  (Franco, 1983:700) y se implementó una política de rescate y revalorización del patrimonio inmaterial con especial énfasis en las poblaciones campesinas y nativas. Para ello se creó ferias artesanales y festivales de artes y danzas populares a lo largo de </w:t>
      </w:r>
      <w:r w:rsidRPr="006219FD">
        <w:rPr>
          <w:rFonts w:asciiTheme="minorHAnsi" w:hAnsiTheme="minorHAnsi"/>
          <w:sz w:val="22"/>
          <w:szCs w:val="22"/>
        </w:rPr>
        <w:lastRenderedPageBreak/>
        <w:t>todo el Perú y se buscó estimular la producción de artesanías como un medio de generar ingresos complementarios entre las poblaciones campesinas y nativas.  En suma, el tipo de turismo que se incentivó fue el cultural en sus versiones histórico y arqueológico. Ello iba en consonancia con la ideología oficial que enfatizaba las raíces indígenas de la peruanidad y buscaba revalorizar el acervo cultural de la nación.</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gobierno de Morales Bermúdez (1975-1980) se propuso revertir el modelo económico puesto en marcha por Velasco. Las políticas públicas con respecto a este sector dieron mayor énfasis al apoyo a la inversión privada.  En 1977 se promulgó un régimen de incentivos para la actividad turística, entre los cuales se incluyó la exoneración de impuestos, facilidades de pago en la adquisición de terrenos de propiedad del Estado, créditos para el financiamiento con tasas de interés favorables a través de la Banca Estatal. También se otorgó incentivos tributarios a la inversión y/o reinversión privada a través de la liberación del impuesto a la renta en tales casos. (FOPTUR, 1981). En lo referente a la promoción turística, se disminuyó el impuesto a bienes y servicios destinado al desarrollo turístico. En compensación se gravó la salida al exterior con la creación del impuesto al viaje al exterior y la asignación de un costo al trámite de pasaporte.</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Estado continuó asumiendo un rol de promotor y subsidiario del sector. Se creó el Ministerio de Industria y Turismo, al cual se asignó como ámbitos de competencia: planear y promover la provisión de infraestructura turística, normar y controlar el funcionamiento de los servicios turísticos, supervisar y controlar la calidad de los servicios turísticos y favorecer la capacitación profesional de los trabajadores del sector. (FOPTUR, 1981) Se creó el Fondo de  Promoción del Turismo (FOPTUR) con el objetivo  de intermediar, en lo financiero, entre el sector público y privado y de institucionalizar la promoción turística. Sus tareas eran: promocionar el turismo receptivo; brindar apoyo e incentivar a las empresas de servicios turísticos en la ejecución de programas de promoción del turismo receptivo; apoyar y participar en certámenes, exposiciones, ferias y otros eventos tanto en el país como en el extranjero; apoyar el folklore y la artesanía como medios de atracción turística; realizar planes, programas y proyectos de promoción turística y desarrollar actividades de investigación y capacitación turísticas (FOPTUR, 1981) FOPTUR estaba a cargo también de la construcción de infraestructura básica, sin embargo esta meta se logró  solo parcialmente debido a la ausencia de lineamientos concretos (De la Flor 2000: 112-113).</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Junto a FOPTUR, se creó el Centro de Formación Turística (CENFOTUR) como entidad educativa destinada a la formación de profesionales en el sector turismo. Conforme a la concepción estatal del turismo, sus tareas se remitían a: estudiar y determinar las necesidades de formación y capacitación del personal requerido; proponer a la Secretaría de Estado de Turismo la política de formación y capacitación del personal de la actividad turística; planear, elaborar, ejecutar y promover programas de formación y capacitación de acuerdo con las políticas sectoriales establecidas; y emitir pronunciamientos para la apertura de nuevos centros de enseñanza turística y para la ejecución de actividades educativas sobre la materia.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década de los ochenta estuvo signada por la recesión económica nacional e internacional. A la crisis económica se sumó el clima de inseguridad interna debido a la violencia desatada por movimientos insurgentes que tomaron la vía armada. Al final de los ochenta el sector había colapsado, el flujo de visitantes del exterior era casi inexistente y la hiperinflación de los años 1988-90, que llevó a las clases medias a la ruina,  redujo drásticamente el turismo interno.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segundo gobierno de  Belaúnde (1980-1985) profundizó el retorno al liberalismo económico iniciado por Morales Bermúdez. Sin embargo, se enfrentó a un clima de malestar social debido a la crisis económica que hizo decaer los niveles de vida de los sectores medios y populares y al surgimiento de los movimientos insurgentes Sendero Luminoso y Tupac Amaru. En lo referente al sector  turístico las políticas estatales se concentraron en la labor de promoción y estímulo a la inversión privada a través de incentivos tributarios y financieros al transporte aéreo y a la construcción hotelera. Dentro de este  contexto ENTERPERU, administradora de los Hoteles de Turistas, fue privatizada nuevamente y rebautizada como COTURPERU. En su último año de gobierno, Belaúnde promulgó la Ley General del Turismo que favorecía la inversión privada y la </w:t>
      </w:r>
      <w:r w:rsidRPr="006219FD">
        <w:rPr>
          <w:rFonts w:asciiTheme="minorHAnsi" w:hAnsiTheme="minorHAnsi"/>
          <w:sz w:val="22"/>
          <w:szCs w:val="22"/>
        </w:rPr>
        <w:lastRenderedPageBreak/>
        <w:t>reinversión en turismo. En el primer gobierno de García (1985-1990) se continuó con las políticas establecidas por Belaúnde. Sin embargo, los incentivos a la reinversión se anularon y la actividad turística disminuyó considerablemente debido a la inseguridad interna y a la profundización de la crisis económica.</w:t>
      </w: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Tercera etapa: El Estado Promotor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En la década de los noventa la economía peruana y la seguridad interna comienzan a recuperarse. Durante el gobierno de Fujimori (1990-2000) se giró definitivamente a un modelo neo liberal en la conducción de la economía y en el diseño de políticas publicas. Se profundizó la privatización de las inversiones y se desmontó  y reorganizó el aparato organizacional y la infraestructura estatales. Se disolvió ENTURPERU y los hoteles pertenecientes a la cadena Hoteles de Turistas fueron adquiridos por el sector privado (Indacochea 1996).</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cambio en la importancia económica del turismo fue de la mano con un incremento en la atención brindada desde el Estado a tal actividad. Desde 1993 se observa un crecimiento continuo del sector. Los ingresos de divisas crecieron a tasas del 20% anual hasta 1998 año en que se generaron 913 millones de dólares en divisas. El año 1998 fue declarado oficialmente el "Año de los 600 mil turistas" y 1999 es el "Año del turismo interno" (Chacaltana 1999).</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En contraste con los regimenes anteriores, cuyas políticas se centraron en la construcción de infraestructura y en los incentivos a la inversión, a partir del gobierno de Fujimori las políticas públicas enfocaron la labor de promoción dejando las obras de infraestructura en manos del sector privado. Además se buscó ampliar la oferta turística y las campañas de publicidad del Estado peruano dejaron de enfocar el llamado turismo étnico o cultural y fomentaron no sólo las visitas arqueológicas, sino las culturas vivas, la ecología, las expresiones artísticas regionales y la gastronomía (Manrique, 2000:315). Para ello se  implementó herramientas promocionales más variadas y actualizadas. Con este fin se creó PROMPERU entidad que tiene como objetivo propiciar el crecimiento de los flujos turísticos, participar en eventos, establecer alianzas con diversos organismos internacionales y crear y promover productos turísticos peruanos en el mercado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“Por primera vez se planteó un Programa Integrado de Apoyo del Sector Turismo en el Perú (1996-1999)  y se diseñó un Plan Maestro de Desarrollo Turístico Nacional de la República del Perú  El Programa apoyado por la UE, en principio, proponía mejorar la competitividad del Perú como destino turístico.  En la práctica logró romper esquemas fomentando el desarrollo de productos innovadores que parten de iniciativas locales desde un enfoque de sostenibilidad dentro del marco de un "Turismo Vivencial". La gran mayoría de los proyectos del Programa estaban ubicados en áreas rurales y enfocados a actividades tales como agroturismo, trekking, rutas ancestrales, turismo participativo, etc. tanto en el norte (Cajamarca, Túcume y Huaraz) como el sur del país (Cusco y Valle Sagrado) y algunos de ellos todavía siguen vigentes hoy en día (septiembre 2014)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 </w:t>
      </w:r>
      <w:r w:rsidRPr="006219FD">
        <w:rPr>
          <w:rFonts w:asciiTheme="minorHAnsi" w:hAnsiTheme="minorHAnsi"/>
          <w:sz w:val="22"/>
          <w:szCs w:val="22"/>
        </w:rPr>
        <w:tab/>
        <w:t>Paralelamente, se buscó mejorar la oferta turística a través de la capacitación de los servidores de esta área y de programas destinados a generar cultura turística en la población. Se promulgó una nueva ley de turismo que creó diversas instancias que garantizan la seguridad del turista tales como la policía de turismo  y la fiscalía de turismo. Dentro de este marco INDECOPI   firmó un convenio con Promperu para, a través de la fiscalía del turismo , la policía de turismo  y el servicio de protección al turismo, se informe al consumidor, se vigile que las empresas cumplan las normas y, dado el caso, se sancione a la empresa y se repare al consumidor.  Es decir que se buscaba satisfacer necesidades e intereses del turista pero no se buscaba construir herramientas para que la población local se sienta reconocida social y políticamente. (Ulfe 2008).</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gobierno de Toledo (2001-2006) marcó el inicio de la recuperación económica del Perú en base al modelo ya en marcha durante el periodo de Fujimori. Las políticas públicas se centraron en la promoción del producto Perú y del turismo interno. Paralelamente se incentivó la inversión </w:t>
      </w:r>
      <w:r w:rsidRPr="006219FD">
        <w:rPr>
          <w:rFonts w:asciiTheme="minorHAnsi" w:hAnsiTheme="minorHAnsi"/>
          <w:sz w:val="22"/>
          <w:szCs w:val="22"/>
        </w:rPr>
        <w:lastRenderedPageBreak/>
        <w:t xml:space="preserve">privada en infraestructura y se dio incentivos tributarios a la inversión en establecimientos de hospedaje.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Para incentivar el turismo interno se otorgó incentivos, tales como el establecimiento de feriados largos. Finalmente, se otorgó beneficios tributarios que eximían de IGV a los servicios de alojamiento y alimentación adquiridos en el país por sujetos no domiciliados.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Como estrategia de promoción internacional, en el 2002 se creó la Marca Turística, símbolo e imagen del Perú. En un principio pretendía dar cuenta y promocionar los monumentos arqueológicos, la naturaleza y las costumbres y festividades que se encuentran en el Perú. El eslogan propuesto fue: “Donde la historia vive” y el texto rezaba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famosa piedra incaica de los 12 ángulos sirve de lienzo para dibujar el misterioso colibrí que trazaron los nazca en sus pampas. Esta composición da a luz un ave multicolor que establece un puente temporal entre el pasado y el presente, un puente mágico que une la diversidad cultural y natural de un país cuya historia nos habla sobre la fiesta de la vida. Es un ave que resalta la exuberante belleza de la tierra peruana, salta y brinca trayendo a la memoria insólitos danzantes que celebran cada día la magia del Perú (PromPerú 2002 en: Cortés 2007: 306).</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el 2003 la frase inscrita en la Marca Turística fue cambiada de “Donde la historia vive” a  “Perú, país de los Inkas” resaltando así la relación con la cultura incaica porque se consideraba que esta es la imagen que tipifica al Perú. Paralelamente se continuó con la promoción de la artesanía y la gastronomía en tanto expresiones del patrimonio inmaterial que pueden ser ofrecidas para el consumo de los visitantes (Alfaro 2005). También, se inició el Proyecto de Mejora del Sector Turismo en la Comunidad Andina que pretende mejorar el espacio turístico, reforzar los productos, crear un sistema de información, capacitar al personal turístico, generar mayor demanda, asegurar su sostenibilidad social y ambiental, facilitar y generar inversiones.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turismo interno creció de manera sostenida durante década del 2000. Durante el 2003 se realizaron aproximadamente 13,7 millones de viajes por turismo interno. Incremento considerable respecto al flujo de turistas internos de 1,1 a 2,6 millones registrado durante el año 1997. Sin embargo el crecimiento y flujo presentado fueron reducidos en comparación con el turismo internacional y en relación a la población.   Esto se debió, en buena medida, a que la infraestructura turística es limitada. La estabilidad económica atrajo a las inversiones en hotelería y transportes aéreos pero esta fue insuficiente. Tanto en hoteles como en transporte aéreo la inversión más fuerte provino de  capitales multinacionales. En el caso de los hoteles, la inversión creció significativamente pero se concentró en pocos destinos ya consagrados y  destinados al turismo receptivo. El transporte se desarrolló en el área de los vuelos internacionales en tanto que el sector de vuelos nacionales retrocedió y la oferta es insuficiente.. En consecuencia, a pesar de que este periodo se caracterizó por su tendencia hacia la institucionalización y formalización, el turismo no ha logrado desarrollar todo su potencial.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García (2006-2011) continúa con las políticas diseñadas en el Plan Estratégico Nacional 2005-2015. Se vive un clima de expansión económica que el Perú no veía desde la década de los setenta. El superávit fiscal  permite al Estado emprender obras de infraestructura vial y construcción de aeropuertos. Las clases medias viven un periodo de bonanza que se refleja en el dinamismo del turismo interno, auspiciado por políticas que otorgan feriados a los trabajadores del  sector público y con campañas publicitarias tales como “Escápate de la rutina” “Perú mucho gusto” y “El Perú lo tiene todo” puestas en marcha por PROMPERU.</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2008 y 2009 marcaron cierto un descenso en la actividad turística debido a la recesión económica mundial. Aunque sigue creciendo su ritmo se ha desacelerado pasando del tercer lugar como generador de divisas al quinto   </w:t>
      </w: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 xml:space="preserve">Conclusiones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 nuestra historia y al desarrollo de esta industria en el mundo. La aparición del turismo interno se posibilitó por la expansión de los </w:t>
      </w:r>
      <w:r w:rsidRPr="006219FD">
        <w:rPr>
          <w:rFonts w:asciiTheme="minorHAnsi" w:hAnsiTheme="minorHAnsi"/>
          <w:sz w:val="22"/>
          <w:szCs w:val="22"/>
        </w:rPr>
        <w:lastRenderedPageBreak/>
        <w:t xml:space="preserve">medios de comunicación terrestre (ferrocarril y carreteras) y por la consolidación de las clases medias asalariadas. Sin embargo, esta actividad no tuvo mayor peso en la vida económica del país hasta la década de los sesenta en que se dio la gran expansión del turismo de masas y comenzó a llegar un flujo de turistas provenientes de los países del primer mundo. Desde entonces ha sufrido fluctuaciones que van paralelas a los climas económico y político nacional e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 partir de la década de los sesenta, el turismo ha adquirido  una creciente presencia y relevancia en las políticas públicas. Se observa una tendencia hacia la institucionalización y formalización de esta actividad. La evolución de su importancia responde a los cambios globales de la industria turística y a las fluctuaciones en la concepción del papel del Estado en la economía. Estas han girado desde posiciones liberales en las cuales el Estado cumple un rol de facilitador de la inversión privada hasta el intervencionismo en el cual lidera el desarrollo. De este modo encontramos que los regimenes liberales dan mayor énfasis a la promoción y al incentivo de la inversión privada mientras que los regimenes populistas enfatizan la inversión en infraestructura. Sin embargo, puede decirse que a lo largo de el siglo XX y el presente han predominado los regimenes liberales por lo que las políticas publicas se han concentrado mayormente en la promoción del producto Perú mientras que la inversión en infraestructura y en la puesta en valor del patrimonio material  e inmaterial ha sido poca y dependiente de donaciones de la cooperación internacional o de la iniciativa privada.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tipo de turismo que caracteriza al Perú como receptor de turistas extranjeros es el cultural. Sin embargo la tendencia a la diversificación de esta actividad lleva a que aparezcan modalidades cada vez más diversas tales como los turismos ecológico, étnico, gastronómico y rural.  En consonancia, se observa que las políticas públicas de promoción del turismo se concentraron, hasta la década de los noventa en la promoción del Perú como destino histórico cultural mientras que a partir de las década de los noventa empieza a promocionar diversas variedades de turismo cultural y ecológico.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La visión del patrimonio nacional que inspira las políticas públicas sobre turismo responde en gran medida al tipo de turismo que el Perú atrae. En consecuencia, enfatiza el pasado prehispánico, la diferencia cultural y la ecología. Puede decirse que esta industria tiende a crear y difundir una imagen exotista del patrimonio cultural peruano.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Al respecto, resulta ilustrativo analizar la manera en que el Estado nacional define la posición de ciertas minorías étnicas o poblaciones campesinas que mantienen estilos de vida tradicionales para adecuarlas a las demandas del turismo internacional. En el Perú, por ejemplo, las poblaciones campesinas de la región andina y sus manifestaciones artísticas y culturales tienden a ser asimiladas al folclor, al pasado remoto o a las raíces de la cultura peruana, mientras que los grupos étnicos que habitan la Amazonía han empezado a ser vendidos en paquetes de turismo étnico o ecológico como «otros primitivos». Estas políticas expresan de manera gráfica las profundas fisuras de la sociedad peruana.</w:t>
      </w:r>
    </w:p>
    <w:p w:rsidR="00762808" w:rsidRPr="006219FD" w:rsidRDefault="006219FD" w:rsidP="006219FD">
      <w:pPr>
        <w:jc w:val="both"/>
        <w:rPr>
          <w:rFonts w:asciiTheme="minorHAnsi" w:hAnsiTheme="minorHAnsi"/>
          <w:sz w:val="22"/>
          <w:szCs w:val="22"/>
        </w:rPr>
      </w:pPr>
      <w:r w:rsidRPr="006219FD">
        <w:rPr>
          <w:rFonts w:asciiTheme="minorHAnsi" w:hAnsiTheme="minorHAnsi"/>
          <w:sz w:val="22"/>
          <w:szCs w:val="22"/>
        </w:rPr>
        <w:t>Uno de los giros más importantes en las campañas turísticas actuales es el afán de revalorizar expresiones culturales antes vilipendiadas. La comida y el sabor, las expresiones del arte, de la historia y el lenguaje se presentan ahora como expresiones del ingenio y la creatividad de los peruanos. Así está en curso un proceso de recuperación del patrimonio cultural peruano liderado por las elites económicas y empresariales, que se coloca una de las grandes productoras de discursos sobre la identidad nacional.</w:t>
      </w:r>
    </w:p>
    <w:sectPr w:rsidR="00762808" w:rsidRPr="006219FD" w:rsidSect="0097645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5F" w:rsidRDefault="00A1475F">
      <w:r>
        <w:separator/>
      </w:r>
    </w:p>
  </w:endnote>
  <w:endnote w:type="continuationSeparator" w:id="0">
    <w:p w:rsidR="00A1475F" w:rsidRDefault="00A1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C9" w:rsidRDefault="003217C9" w:rsidP="00765C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17C9" w:rsidRDefault="003217C9" w:rsidP="000C3F9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98782"/>
      <w:docPartObj>
        <w:docPartGallery w:val="Page Numbers (Bottom of Page)"/>
        <w:docPartUnique/>
      </w:docPartObj>
    </w:sdtPr>
    <w:sdtEndPr/>
    <w:sdtContent>
      <w:p w:rsidR="00976451" w:rsidRDefault="00976451">
        <w:pPr>
          <w:pStyle w:val="Piedepgina"/>
          <w:jc w:val="right"/>
        </w:pPr>
        <w:r>
          <w:fldChar w:fldCharType="begin"/>
        </w:r>
        <w:r>
          <w:instrText>PAGE   \* MERGEFORMAT</w:instrText>
        </w:r>
        <w:r>
          <w:fldChar w:fldCharType="separate"/>
        </w:r>
        <w:r w:rsidR="001A063D" w:rsidRPr="001A063D">
          <w:rPr>
            <w:noProof/>
            <w:lang w:val="es-ES"/>
          </w:rPr>
          <w:t>2</w:t>
        </w:r>
        <w:r>
          <w:fldChar w:fldCharType="end"/>
        </w:r>
      </w:p>
    </w:sdtContent>
  </w:sdt>
  <w:p w:rsidR="003217C9" w:rsidRDefault="003217C9" w:rsidP="000C3F9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5F" w:rsidRDefault="00A1475F">
      <w:r>
        <w:separator/>
      </w:r>
    </w:p>
  </w:footnote>
  <w:footnote w:type="continuationSeparator" w:id="0">
    <w:p w:rsidR="00A1475F" w:rsidRDefault="00A1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1"/>
    <w:rsid w:val="00004067"/>
    <w:rsid w:val="000156C7"/>
    <w:rsid w:val="00016C9A"/>
    <w:rsid w:val="00025500"/>
    <w:rsid w:val="00026886"/>
    <w:rsid w:val="00035BD1"/>
    <w:rsid w:val="00041514"/>
    <w:rsid w:val="0004465F"/>
    <w:rsid w:val="00047898"/>
    <w:rsid w:val="000559B8"/>
    <w:rsid w:val="0005712F"/>
    <w:rsid w:val="00060928"/>
    <w:rsid w:val="00064D25"/>
    <w:rsid w:val="00066E22"/>
    <w:rsid w:val="00074D72"/>
    <w:rsid w:val="00076489"/>
    <w:rsid w:val="00077ED5"/>
    <w:rsid w:val="000800A7"/>
    <w:rsid w:val="00080418"/>
    <w:rsid w:val="00081DF3"/>
    <w:rsid w:val="00082C48"/>
    <w:rsid w:val="00097799"/>
    <w:rsid w:val="000C0250"/>
    <w:rsid w:val="000C1BB2"/>
    <w:rsid w:val="000C3F99"/>
    <w:rsid w:val="000C71A0"/>
    <w:rsid w:val="000C72A9"/>
    <w:rsid w:val="000F2B21"/>
    <w:rsid w:val="00101988"/>
    <w:rsid w:val="0010200D"/>
    <w:rsid w:val="001238FD"/>
    <w:rsid w:val="00125219"/>
    <w:rsid w:val="00132D62"/>
    <w:rsid w:val="00145C58"/>
    <w:rsid w:val="00165C80"/>
    <w:rsid w:val="001720FD"/>
    <w:rsid w:val="00174B4E"/>
    <w:rsid w:val="00184D12"/>
    <w:rsid w:val="00185D72"/>
    <w:rsid w:val="0019142D"/>
    <w:rsid w:val="001A063D"/>
    <w:rsid w:val="001A1DA4"/>
    <w:rsid w:val="001A267C"/>
    <w:rsid w:val="001A7D21"/>
    <w:rsid w:val="001C607A"/>
    <w:rsid w:val="001D1081"/>
    <w:rsid w:val="001D192D"/>
    <w:rsid w:val="001D1B88"/>
    <w:rsid w:val="001D1F2F"/>
    <w:rsid w:val="001D21A1"/>
    <w:rsid w:val="001E38FC"/>
    <w:rsid w:val="001F45C8"/>
    <w:rsid w:val="00217E19"/>
    <w:rsid w:val="002326E1"/>
    <w:rsid w:val="00237288"/>
    <w:rsid w:val="00242E51"/>
    <w:rsid w:val="0024702E"/>
    <w:rsid w:val="00273F16"/>
    <w:rsid w:val="0027701D"/>
    <w:rsid w:val="0027778F"/>
    <w:rsid w:val="00284246"/>
    <w:rsid w:val="002860F3"/>
    <w:rsid w:val="00286A40"/>
    <w:rsid w:val="002870CB"/>
    <w:rsid w:val="00290DAC"/>
    <w:rsid w:val="002977FA"/>
    <w:rsid w:val="002A16B2"/>
    <w:rsid w:val="002A3594"/>
    <w:rsid w:val="002C523C"/>
    <w:rsid w:val="002E1A0B"/>
    <w:rsid w:val="002F0104"/>
    <w:rsid w:val="003059B5"/>
    <w:rsid w:val="0030609F"/>
    <w:rsid w:val="003147FD"/>
    <w:rsid w:val="0031555B"/>
    <w:rsid w:val="003217C9"/>
    <w:rsid w:val="00323839"/>
    <w:rsid w:val="0032615A"/>
    <w:rsid w:val="00326490"/>
    <w:rsid w:val="0033039E"/>
    <w:rsid w:val="00333993"/>
    <w:rsid w:val="003368A5"/>
    <w:rsid w:val="00357080"/>
    <w:rsid w:val="003810C3"/>
    <w:rsid w:val="00392003"/>
    <w:rsid w:val="0039434B"/>
    <w:rsid w:val="00394A88"/>
    <w:rsid w:val="0039774F"/>
    <w:rsid w:val="00397F94"/>
    <w:rsid w:val="003A572E"/>
    <w:rsid w:val="003A6882"/>
    <w:rsid w:val="003B4669"/>
    <w:rsid w:val="003C1E8B"/>
    <w:rsid w:val="003D18D5"/>
    <w:rsid w:val="003D1A51"/>
    <w:rsid w:val="003D4A8C"/>
    <w:rsid w:val="003E400E"/>
    <w:rsid w:val="003F21B3"/>
    <w:rsid w:val="00400084"/>
    <w:rsid w:val="0040164E"/>
    <w:rsid w:val="00402937"/>
    <w:rsid w:val="004103AF"/>
    <w:rsid w:val="00416FB3"/>
    <w:rsid w:val="00423031"/>
    <w:rsid w:val="00427780"/>
    <w:rsid w:val="0043562A"/>
    <w:rsid w:val="00437BB7"/>
    <w:rsid w:val="0045456B"/>
    <w:rsid w:val="004743F5"/>
    <w:rsid w:val="0047540A"/>
    <w:rsid w:val="00476D22"/>
    <w:rsid w:val="00477CE8"/>
    <w:rsid w:val="004814D5"/>
    <w:rsid w:val="00483593"/>
    <w:rsid w:val="00492C65"/>
    <w:rsid w:val="004B2738"/>
    <w:rsid w:val="004C217F"/>
    <w:rsid w:val="004C3317"/>
    <w:rsid w:val="004C3719"/>
    <w:rsid w:val="004C6356"/>
    <w:rsid w:val="004D284C"/>
    <w:rsid w:val="004D7CB2"/>
    <w:rsid w:val="004F049E"/>
    <w:rsid w:val="004F5ED4"/>
    <w:rsid w:val="004F66F6"/>
    <w:rsid w:val="0050231A"/>
    <w:rsid w:val="00533FC7"/>
    <w:rsid w:val="00536A5F"/>
    <w:rsid w:val="00547C32"/>
    <w:rsid w:val="0055499E"/>
    <w:rsid w:val="00557148"/>
    <w:rsid w:val="005634E9"/>
    <w:rsid w:val="005639FB"/>
    <w:rsid w:val="005657D0"/>
    <w:rsid w:val="005675A1"/>
    <w:rsid w:val="00576513"/>
    <w:rsid w:val="005805D6"/>
    <w:rsid w:val="005820DF"/>
    <w:rsid w:val="00593171"/>
    <w:rsid w:val="005B6E05"/>
    <w:rsid w:val="005D79E6"/>
    <w:rsid w:val="005E03AC"/>
    <w:rsid w:val="005F6D00"/>
    <w:rsid w:val="006128CF"/>
    <w:rsid w:val="00620D61"/>
    <w:rsid w:val="00621162"/>
    <w:rsid w:val="006219FD"/>
    <w:rsid w:val="00624480"/>
    <w:rsid w:val="006265EC"/>
    <w:rsid w:val="00632277"/>
    <w:rsid w:val="006505A6"/>
    <w:rsid w:val="00651237"/>
    <w:rsid w:val="00655AD9"/>
    <w:rsid w:val="006567A2"/>
    <w:rsid w:val="00660E11"/>
    <w:rsid w:val="006614C7"/>
    <w:rsid w:val="006724BB"/>
    <w:rsid w:val="0068038D"/>
    <w:rsid w:val="006824A3"/>
    <w:rsid w:val="00686B4B"/>
    <w:rsid w:val="006968E0"/>
    <w:rsid w:val="006A2B64"/>
    <w:rsid w:val="006A410F"/>
    <w:rsid w:val="006A73C5"/>
    <w:rsid w:val="006C1D26"/>
    <w:rsid w:val="006D2200"/>
    <w:rsid w:val="006D267D"/>
    <w:rsid w:val="006D41FD"/>
    <w:rsid w:val="006E01D0"/>
    <w:rsid w:val="006E38C0"/>
    <w:rsid w:val="00703F77"/>
    <w:rsid w:val="00713B62"/>
    <w:rsid w:val="007210F6"/>
    <w:rsid w:val="00727FA2"/>
    <w:rsid w:val="0073033C"/>
    <w:rsid w:val="00743B3C"/>
    <w:rsid w:val="007515E9"/>
    <w:rsid w:val="00753745"/>
    <w:rsid w:val="00761895"/>
    <w:rsid w:val="007620AE"/>
    <w:rsid w:val="00762808"/>
    <w:rsid w:val="00762E98"/>
    <w:rsid w:val="00765C3E"/>
    <w:rsid w:val="00781A56"/>
    <w:rsid w:val="00781FB8"/>
    <w:rsid w:val="00790368"/>
    <w:rsid w:val="0079280F"/>
    <w:rsid w:val="007975B2"/>
    <w:rsid w:val="007A1B16"/>
    <w:rsid w:val="007A51EB"/>
    <w:rsid w:val="007B1C0A"/>
    <w:rsid w:val="007B781B"/>
    <w:rsid w:val="007D5CA6"/>
    <w:rsid w:val="007D7DA4"/>
    <w:rsid w:val="007E5626"/>
    <w:rsid w:val="007F2738"/>
    <w:rsid w:val="007F4892"/>
    <w:rsid w:val="007F611E"/>
    <w:rsid w:val="007F63D7"/>
    <w:rsid w:val="007F6A98"/>
    <w:rsid w:val="007F7760"/>
    <w:rsid w:val="008060C1"/>
    <w:rsid w:val="0080610F"/>
    <w:rsid w:val="00814584"/>
    <w:rsid w:val="00815DDE"/>
    <w:rsid w:val="00817921"/>
    <w:rsid w:val="00827F31"/>
    <w:rsid w:val="00831BA5"/>
    <w:rsid w:val="00843DFC"/>
    <w:rsid w:val="00867365"/>
    <w:rsid w:val="008813FE"/>
    <w:rsid w:val="0088182E"/>
    <w:rsid w:val="008871AE"/>
    <w:rsid w:val="008921EA"/>
    <w:rsid w:val="008A0124"/>
    <w:rsid w:val="008A620F"/>
    <w:rsid w:val="008D6B7F"/>
    <w:rsid w:val="008F2091"/>
    <w:rsid w:val="0090225C"/>
    <w:rsid w:val="00914583"/>
    <w:rsid w:val="00925DCE"/>
    <w:rsid w:val="00930230"/>
    <w:rsid w:val="009355D7"/>
    <w:rsid w:val="00947750"/>
    <w:rsid w:val="00957596"/>
    <w:rsid w:val="00973672"/>
    <w:rsid w:val="00976451"/>
    <w:rsid w:val="00983663"/>
    <w:rsid w:val="009942E4"/>
    <w:rsid w:val="009B0683"/>
    <w:rsid w:val="009B1F8B"/>
    <w:rsid w:val="009B29E9"/>
    <w:rsid w:val="009D197B"/>
    <w:rsid w:val="009D3D1A"/>
    <w:rsid w:val="009D6850"/>
    <w:rsid w:val="009E15F2"/>
    <w:rsid w:val="009E179E"/>
    <w:rsid w:val="009E1AA3"/>
    <w:rsid w:val="009E1C58"/>
    <w:rsid w:val="009E4D78"/>
    <w:rsid w:val="009E5F19"/>
    <w:rsid w:val="009E78BC"/>
    <w:rsid w:val="009F4748"/>
    <w:rsid w:val="009F6D0D"/>
    <w:rsid w:val="009F770D"/>
    <w:rsid w:val="00A0550C"/>
    <w:rsid w:val="00A06733"/>
    <w:rsid w:val="00A07C67"/>
    <w:rsid w:val="00A1475F"/>
    <w:rsid w:val="00A20A21"/>
    <w:rsid w:val="00A24F19"/>
    <w:rsid w:val="00A274F4"/>
    <w:rsid w:val="00A31DF0"/>
    <w:rsid w:val="00A37AC6"/>
    <w:rsid w:val="00A450C5"/>
    <w:rsid w:val="00A55827"/>
    <w:rsid w:val="00A70099"/>
    <w:rsid w:val="00A8023E"/>
    <w:rsid w:val="00A92560"/>
    <w:rsid w:val="00A96EB0"/>
    <w:rsid w:val="00AB4EE4"/>
    <w:rsid w:val="00AB6A05"/>
    <w:rsid w:val="00AC0F43"/>
    <w:rsid w:val="00AC2C2A"/>
    <w:rsid w:val="00AC5DB2"/>
    <w:rsid w:val="00AC7392"/>
    <w:rsid w:val="00AF220A"/>
    <w:rsid w:val="00B1177E"/>
    <w:rsid w:val="00B13243"/>
    <w:rsid w:val="00B24EC1"/>
    <w:rsid w:val="00B3552A"/>
    <w:rsid w:val="00B461E5"/>
    <w:rsid w:val="00B5036F"/>
    <w:rsid w:val="00B53F61"/>
    <w:rsid w:val="00B632DC"/>
    <w:rsid w:val="00B64CA5"/>
    <w:rsid w:val="00B672C6"/>
    <w:rsid w:val="00B6753D"/>
    <w:rsid w:val="00B70BFA"/>
    <w:rsid w:val="00B74C10"/>
    <w:rsid w:val="00B91314"/>
    <w:rsid w:val="00BA7EDA"/>
    <w:rsid w:val="00BB13FC"/>
    <w:rsid w:val="00BB2C8F"/>
    <w:rsid w:val="00BB3BD8"/>
    <w:rsid w:val="00BB61B6"/>
    <w:rsid w:val="00BD4C27"/>
    <w:rsid w:val="00BE2E8C"/>
    <w:rsid w:val="00BE38F9"/>
    <w:rsid w:val="00BF01B0"/>
    <w:rsid w:val="00BF6425"/>
    <w:rsid w:val="00C03D05"/>
    <w:rsid w:val="00C059A6"/>
    <w:rsid w:val="00C207D1"/>
    <w:rsid w:val="00C301CE"/>
    <w:rsid w:val="00C31B49"/>
    <w:rsid w:val="00C33FBF"/>
    <w:rsid w:val="00C358D0"/>
    <w:rsid w:val="00C43B2B"/>
    <w:rsid w:val="00C44D31"/>
    <w:rsid w:val="00C459B0"/>
    <w:rsid w:val="00C53512"/>
    <w:rsid w:val="00C7110C"/>
    <w:rsid w:val="00C71149"/>
    <w:rsid w:val="00C84B3B"/>
    <w:rsid w:val="00C873E1"/>
    <w:rsid w:val="00C91CF0"/>
    <w:rsid w:val="00CA5452"/>
    <w:rsid w:val="00CB2549"/>
    <w:rsid w:val="00CB4C9D"/>
    <w:rsid w:val="00CB78DF"/>
    <w:rsid w:val="00CC0797"/>
    <w:rsid w:val="00CC170E"/>
    <w:rsid w:val="00CC1973"/>
    <w:rsid w:val="00CC3584"/>
    <w:rsid w:val="00CD0AA4"/>
    <w:rsid w:val="00CE1C79"/>
    <w:rsid w:val="00CF037A"/>
    <w:rsid w:val="00D2015F"/>
    <w:rsid w:val="00D20D29"/>
    <w:rsid w:val="00D23DD0"/>
    <w:rsid w:val="00D2412E"/>
    <w:rsid w:val="00D306A5"/>
    <w:rsid w:val="00D31CF5"/>
    <w:rsid w:val="00D37B9E"/>
    <w:rsid w:val="00D403A8"/>
    <w:rsid w:val="00D55563"/>
    <w:rsid w:val="00D57293"/>
    <w:rsid w:val="00D61778"/>
    <w:rsid w:val="00D63FC7"/>
    <w:rsid w:val="00D64B72"/>
    <w:rsid w:val="00D66A92"/>
    <w:rsid w:val="00D94CE5"/>
    <w:rsid w:val="00D94FA9"/>
    <w:rsid w:val="00DB24C0"/>
    <w:rsid w:val="00DB2F0F"/>
    <w:rsid w:val="00DB7D3B"/>
    <w:rsid w:val="00DC7A19"/>
    <w:rsid w:val="00DD4693"/>
    <w:rsid w:val="00DD49A8"/>
    <w:rsid w:val="00DD7B60"/>
    <w:rsid w:val="00DE4937"/>
    <w:rsid w:val="00E1079C"/>
    <w:rsid w:val="00E12A20"/>
    <w:rsid w:val="00E13247"/>
    <w:rsid w:val="00E1461F"/>
    <w:rsid w:val="00E1597D"/>
    <w:rsid w:val="00E200C9"/>
    <w:rsid w:val="00E27D4F"/>
    <w:rsid w:val="00E316E1"/>
    <w:rsid w:val="00E31C18"/>
    <w:rsid w:val="00E330CF"/>
    <w:rsid w:val="00E36097"/>
    <w:rsid w:val="00E51AE8"/>
    <w:rsid w:val="00E53818"/>
    <w:rsid w:val="00E70FE5"/>
    <w:rsid w:val="00E77E8E"/>
    <w:rsid w:val="00E95B50"/>
    <w:rsid w:val="00EB23EE"/>
    <w:rsid w:val="00EC2320"/>
    <w:rsid w:val="00EC35DF"/>
    <w:rsid w:val="00ED42F0"/>
    <w:rsid w:val="00ED5328"/>
    <w:rsid w:val="00F23C0D"/>
    <w:rsid w:val="00F23FAE"/>
    <w:rsid w:val="00F45653"/>
    <w:rsid w:val="00F671C5"/>
    <w:rsid w:val="00F675C3"/>
    <w:rsid w:val="00F84932"/>
    <w:rsid w:val="00F87A5B"/>
    <w:rsid w:val="00F87E70"/>
    <w:rsid w:val="00F95640"/>
    <w:rsid w:val="00F97354"/>
    <w:rsid w:val="00F97603"/>
    <w:rsid w:val="00FA31AE"/>
    <w:rsid w:val="00FA3507"/>
    <w:rsid w:val="00FA403E"/>
    <w:rsid w:val="00FB42BB"/>
    <w:rsid w:val="00FD367D"/>
    <w:rsid w:val="00FF017F"/>
    <w:rsid w:val="00FF0D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6EEF1A-CCC6-49AC-AB28-D256C797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416FB3"/>
    <w:rPr>
      <w:sz w:val="20"/>
      <w:szCs w:val="20"/>
      <w:lang w:val="es-ES"/>
    </w:rPr>
  </w:style>
  <w:style w:type="character" w:styleId="Refdenotaalpie">
    <w:name w:val="footnote reference"/>
    <w:semiHidden/>
    <w:rsid w:val="00416FB3"/>
    <w:rPr>
      <w:vertAlign w:val="superscript"/>
    </w:rPr>
  </w:style>
  <w:style w:type="character" w:styleId="Hipervnculo">
    <w:name w:val="Hyperlink"/>
    <w:rsid w:val="00EB23EE"/>
    <w:rPr>
      <w:color w:val="0000FF"/>
      <w:u w:val="single"/>
    </w:rPr>
  </w:style>
  <w:style w:type="paragraph" w:styleId="Textoindependiente">
    <w:name w:val="Body Text"/>
    <w:basedOn w:val="Normal"/>
    <w:rsid w:val="00727FA2"/>
    <w:pPr>
      <w:autoSpaceDE w:val="0"/>
      <w:autoSpaceDN w:val="0"/>
    </w:pPr>
    <w:rPr>
      <w:sz w:val="20"/>
      <w:szCs w:val="20"/>
      <w:lang w:val="es-ES"/>
    </w:rPr>
  </w:style>
  <w:style w:type="paragraph" w:styleId="NormalWeb">
    <w:name w:val="Normal (Web)"/>
    <w:basedOn w:val="Normal"/>
    <w:rsid w:val="00814584"/>
    <w:pPr>
      <w:spacing w:before="100" w:beforeAutospacing="1" w:after="100" w:afterAutospacing="1"/>
    </w:pPr>
    <w:rPr>
      <w:lang w:val="es-ES"/>
    </w:rPr>
  </w:style>
  <w:style w:type="paragraph" w:customStyle="1" w:styleId="Preformatted">
    <w:name w:val="Preformatted"/>
    <w:basedOn w:val="Normal"/>
    <w:rsid w:val="00290D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xtinst1">
    <w:name w:val="txt_inst1"/>
    <w:rsid w:val="00290DAC"/>
    <w:rPr>
      <w:rFonts w:ascii="Verdana" w:hAnsi="Verdana" w:hint="default"/>
      <w:b w:val="0"/>
      <w:bCs w:val="0"/>
      <w:strike w:val="0"/>
      <w:dstrike w:val="0"/>
      <w:color w:val="000000"/>
      <w:sz w:val="15"/>
      <w:szCs w:val="15"/>
      <w:u w:val="none"/>
      <w:effect w:val="none"/>
    </w:rPr>
  </w:style>
  <w:style w:type="paragraph" w:styleId="Piedepgina">
    <w:name w:val="footer"/>
    <w:basedOn w:val="Normal"/>
    <w:link w:val="PiedepginaCar"/>
    <w:uiPriority w:val="99"/>
    <w:rsid w:val="000C3F99"/>
    <w:pPr>
      <w:tabs>
        <w:tab w:val="center" w:pos="4252"/>
        <w:tab w:val="right" w:pos="8504"/>
      </w:tabs>
    </w:pPr>
  </w:style>
  <w:style w:type="character" w:styleId="Nmerodepgina">
    <w:name w:val="page number"/>
    <w:basedOn w:val="Fuentedeprrafopredeter"/>
    <w:rsid w:val="000C3F99"/>
  </w:style>
  <w:style w:type="paragraph" w:customStyle="1" w:styleId="Estilo">
    <w:name w:val="Estilo"/>
    <w:rsid w:val="00C71149"/>
    <w:pPr>
      <w:widowControl w:val="0"/>
      <w:autoSpaceDE w:val="0"/>
      <w:autoSpaceDN w:val="0"/>
      <w:adjustRightInd w:val="0"/>
    </w:pPr>
    <w:rPr>
      <w:rFonts w:ascii="Courier New" w:hAnsi="Courier New" w:cs="Courier New"/>
      <w:sz w:val="24"/>
      <w:szCs w:val="24"/>
      <w:lang w:val="es-ES" w:eastAsia="es-ES"/>
    </w:rPr>
  </w:style>
  <w:style w:type="table" w:styleId="Tablaconcuadrcula">
    <w:name w:val="Table Grid"/>
    <w:basedOn w:val="Tablanormal"/>
    <w:rsid w:val="00F4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rsid w:val="00D403A8"/>
    <w:rPr>
      <w:rFonts w:ascii="Verdana" w:hAnsi="Verdana" w:cs="Tahoma" w:hint="default"/>
      <w:b/>
      <w:bCs/>
      <w:color w:val="003366"/>
      <w:sz w:val="23"/>
      <w:szCs w:val="23"/>
    </w:rPr>
  </w:style>
  <w:style w:type="character" w:styleId="Textoennegrita">
    <w:name w:val="Strong"/>
    <w:qFormat/>
    <w:rsid w:val="00B24EC1"/>
    <w:rPr>
      <w:b/>
      <w:bCs/>
    </w:rPr>
  </w:style>
  <w:style w:type="paragraph" w:styleId="Textonotaalfinal">
    <w:name w:val="endnote text"/>
    <w:basedOn w:val="Normal"/>
    <w:link w:val="TextonotaalfinalCar"/>
    <w:rsid w:val="00831BA5"/>
    <w:rPr>
      <w:sz w:val="20"/>
      <w:szCs w:val="20"/>
    </w:rPr>
  </w:style>
  <w:style w:type="character" w:customStyle="1" w:styleId="TextonotaalfinalCar">
    <w:name w:val="Texto nota al final Car"/>
    <w:link w:val="Textonotaalfinal"/>
    <w:rsid w:val="00831BA5"/>
    <w:rPr>
      <w:lang w:eastAsia="es-ES"/>
    </w:rPr>
  </w:style>
  <w:style w:type="character" w:styleId="Refdenotaalfinal">
    <w:name w:val="endnote reference"/>
    <w:rsid w:val="00831BA5"/>
    <w:rPr>
      <w:vertAlign w:val="superscript"/>
    </w:rPr>
  </w:style>
  <w:style w:type="paragraph" w:styleId="Encabezado">
    <w:name w:val="header"/>
    <w:basedOn w:val="Normal"/>
    <w:link w:val="EncabezadoCar"/>
    <w:unhideWhenUsed/>
    <w:rsid w:val="00976451"/>
    <w:pPr>
      <w:tabs>
        <w:tab w:val="center" w:pos="4419"/>
        <w:tab w:val="right" w:pos="8838"/>
      </w:tabs>
    </w:pPr>
  </w:style>
  <w:style w:type="character" w:customStyle="1" w:styleId="EncabezadoCar">
    <w:name w:val="Encabezado Car"/>
    <w:basedOn w:val="Fuentedeprrafopredeter"/>
    <w:link w:val="Encabezado"/>
    <w:rsid w:val="00976451"/>
    <w:rPr>
      <w:sz w:val="24"/>
      <w:szCs w:val="24"/>
      <w:lang w:eastAsia="es-ES"/>
    </w:rPr>
  </w:style>
  <w:style w:type="character" w:customStyle="1" w:styleId="PiedepginaCar">
    <w:name w:val="Pie de página Car"/>
    <w:basedOn w:val="Fuentedeprrafopredeter"/>
    <w:link w:val="Piedepgina"/>
    <w:uiPriority w:val="99"/>
    <w:rsid w:val="00976451"/>
    <w:rPr>
      <w:sz w:val="24"/>
      <w:szCs w:val="24"/>
      <w:lang w:eastAsia="es-ES"/>
    </w:rPr>
  </w:style>
  <w:style w:type="paragraph" w:styleId="Sinespaciado">
    <w:name w:val="No Spacing"/>
    <w:link w:val="SinespaciadoCar"/>
    <w:uiPriority w:val="1"/>
    <w:qFormat/>
    <w:rsid w:val="00976451"/>
    <w:rPr>
      <w:rFonts w:asciiTheme="minorHAnsi" w:eastAsiaTheme="minorEastAsia" w:hAnsiTheme="minorHAnsi" w:cstheme="minorBidi"/>
      <w:sz w:val="22"/>
      <w:szCs w:val="22"/>
      <w:lang w:val="en-US" w:eastAsia="en-US"/>
    </w:rPr>
  </w:style>
  <w:style w:type="character" w:customStyle="1" w:styleId="SinespaciadoCar">
    <w:name w:val="Sin espaciado Car"/>
    <w:basedOn w:val="Fuentedeprrafopredeter"/>
    <w:link w:val="Sinespaciado"/>
    <w:uiPriority w:val="1"/>
    <w:rsid w:val="0097645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D615-8507-4EA5-BBFF-CBC2491F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4322</Words>
  <Characters>24640</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El turismo en el Perú</vt:lpstr>
    </vt:vector>
  </TitlesOfParts>
  <Company>pucp</Company>
  <LinksUpToDate>false</LinksUpToDate>
  <CharactersWithSpaces>28905</CharactersWithSpaces>
  <SharedDoc>false</SharedDoc>
  <HLinks>
    <vt:vector size="24" baseType="variant">
      <vt:variant>
        <vt:i4>3211318</vt:i4>
      </vt:variant>
      <vt:variant>
        <vt:i4>3</vt:i4>
      </vt:variant>
      <vt:variant>
        <vt:i4>0</vt:i4>
      </vt:variant>
      <vt:variant>
        <vt:i4>5</vt:i4>
      </vt:variant>
      <vt:variant>
        <vt:lpwstr>http://www.bcrp.gob.pe/</vt:lpwstr>
      </vt:variant>
      <vt:variant>
        <vt:lpwstr/>
      </vt:variant>
      <vt:variant>
        <vt:i4>4128808</vt:i4>
      </vt:variant>
      <vt:variant>
        <vt:i4>0</vt:i4>
      </vt:variant>
      <vt:variant>
        <vt:i4>0</vt:i4>
      </vt:variant>
      <vt:variant>
        <vt:i4>5</vt:i4>
      </vt:variant>
      <vt:variant>
        <vt:lpwstr>http://www.indecopi.gob.pe/</vt:lpwstr>
      </vt:variant>
      <vt:variant>
        <vt:lpwstr/>
      </vt:variant>
      <vt:variant>
        <vt:i4>2949159</vt:i4>
      </vt:variant>
      <vt:variant>
        <vt:i4>3</vt:i4>
      </vt:variant>
      <vt:variant>
        <vt:i4>0</vt:i4>
      </vt:variant>
      <vt:variant>
        <vt:i4>5</vt:i4>
      </vt:variant>
      <vt:variant>
        <vt:lpwstr>http://www.congreso.gob.pe/</vt:lpwstr>
      </vt:variant>
      <vt:variant>
        <vt:lpwstr/>
      </vt:variant>
      <vt:variant>
        <vt:i4>4915284</vt:i4>
      </vt:variant>
      <vt:variant>
        <vt:i4>0</vt:i4>
      </vt:variant>
      <vt:variant>
        <vt:i4>0</vt:i4>
      </vt:variant>
      <vt:variant>
        <vt:i4>5</vt:i4>
      </vt:variant>
      <vt:variant>
        <vt:lpwstr>http://www.perutren.org/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turismo en el Perú</dc:title>
  <dc:creator>nfuller</dc:creator>
  <cp:lastModifiedBy>Sergio Bazo</cp:lastModifiedBy>
  <cp:revision>3</cp:revision>
  <cp:lastPrinted>2009-07-02T23:09:00Z</cp:lastPrinted>
  <dcterms:created xsi:type="dcterms:W3CDTF">2017-12-23T21:56:00Z</dcterms:created>
  <dcterms:modified xsi:type="dcterms:W3CDTF">2017-12-29T17:39:00Z</dcterms:modified>
</cp:coreProperties>
</file>